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074BDAB9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r w:rsidRPr="00A77581">
        <w:rPr>
          <w:rFonts w:ascii="Garamond" w:hAnsi="Garamond" w:cs="Times New Roman"/>
          <w:snapToGrid w:val="0"/>
          <w:sz w:val="18"/>
          <w:szCs w:val="18"/>
        </w:rPr>
        <w:t xml:space="preserve">ALLEGATO </w:t>
      </w:r>
      <w:r w:rsidR="00A6490A">
        <w:rPr>
          <w:rFonts w:ascii="Garamond" w:hAnsi="Garamond" w:cs="Times New Roman"/>
          <w:snapToGrid w:val="0"/>
          <w:sz w:val="18"/>
          <w:szCs w:val="18"/>
        </w:rPr>
        <w:t>1.</w:t>
      </w:r>
      <w:r w:rsidR="00FF3EF9">
        <w:rPr>
          <w:rFonts w:ascii="Garamond" w:hAnsi="Garamond" w:cs="Times New Roman"/>
          <w:snapToGrid w:val="0"/>
          <w:sz w:val="18"/>
          <w:szCs w:val="18"/>
        </w:rPr>
        <w:t>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7C59FFBE" w14:textId="77777777" w:rsidR="005743D5" w:rsidRPr="00A77581" w:rsidRDefault="005743D5" w:rsidP="005743D5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39CD4123" w14:textId="77777777" w:rsidR="00B93E6E" w:rsidRPr="00B93E6E" w:rsidRDefault="00B93E6E" w:rsidP="00B93E6E">
      <w:pPr>
        <w:pStyle w:val="Default"/>
        <w:jc w:val="right"/>
        <w:rPr>
          <w:b/>
          <w:sz w:val="22"/>
          <w:szCs w:val="22"/>
        </w:rPr>
      </w:pP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2C9F94A8" w14:textId="77777777" w:rsidR="005E2670" w:rsidRPr="00106E86" w:rsidRDefault="005E2670" w:rsidP="005E2670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106E86">
        <w:rPr>
          <w:rFonts w:ascii="Times New Roman" w:hAnsi="Times New Roman" w:cs="Times New Roman"/>
          <w:b/>
          <w:smallCaps/>
          <w:color w:val="000000"/>
        </w:rPr>
        <w:t xml:space="preserve">GARA EUROPEA A PROCEDURA APERTA TELEMATICA (EX ART. 71, 108 E 128 DEL D. LGS. N. 36/2023) PER L’AFFIDAMENTO </w:t>
      </w:r>
      <w:r w:rsidRPr="00106E86">
        <w:rPr>
          <w:rFonts w:ascii="Times New Roman" w:hAnsi="Times New Roman" w:cs="Times New Roman"/>
          <w:b/>
          <w:caps/>
          <w:color w:val="000000"/>
        </w:rPr>
        <w:t>dI Servizi DI ASSISTENZA MEDICA PRESSO i PRONTO SOCCORSO/PPI DEI Presidi Ospedalieri DELL’uLSS 8 BERICA, SUDDIVISA IN 5 LOTTI</w:t>
      </w:r>
    </w:p>
    <w:p w14:paraId="47094ACC" w14:textId="4A87476E" w:rsidR="005155FC" w:rsidRDefault="005155FC" w:rsidP="005155FC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aps/>
          <w:color w:val="000000"/>
        </w:rPr>
      </w:pPr>
    </w:p>
    <w:p w14:paraId="42CC2033" w14:textId="2DB644CE" w:rsidR="005155FC" w:rsidRDefault="005155FC" w:rsidP="005155FC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CIG _______________</w:t>
      </w: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6F5919DD" w14:textId="44BF953F" w:rsidR="00DD359B" w:rsidRPr="00CE115B" w:rsidRDefault="00CF2ED3" w:rsidP="00D21D18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</w:t>
      </w:r>
      <w:r w:rsidR="00064CAE" w:rsidRPr="00CE115B">
        <w:rPr>
          <w:rFonts w:ascii="Times New Roman" w:hAnsi="Times New Roman" w:cs="Times New Roman"/>
          <w:sz w:val="22"/>
          <w:szCs w:val="22"/>
        </w:rPr>
        <w:t>i essere iscritt</w:t>
      </w:r>
      <w:r w:rsidR="009D5DD5" w:rsidRPr="00CE115B">
        <w:rPr>
          <w:rFonts w:ascii="Times New Roman" w:hAnsi="Times New Roman" w:cs="Times New Roman"/>
          <w:sz w:val="22"/>
          <w:szCs w:val="22"/>
        </w:rPr>
        <w:t>o</w:t>
      </w:r>
      <w:r w:rsidR="00064CAE" w:rsidRPr="00CE115B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CE115B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CE115B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CE115B">
        <w:rPr>
          <w:rFonts w:ascii="Times New Roman" w:hAnsi="Times New Roman" w:cs="Times New Roman"/>
          <w:sz w:val="22"/>
          <w:szCs w:val="22"/>
        </w:rPr>
        <w:t xml:space="preserve">    </w:t>
      </w:r>
    </w:p>
    <w:p w14:paraId="7B61427D" w14:textId="7CC43198" w:rsidR="007137ED" w:rsidRPr="00CE115B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</w:t>
      </w:r>
      <w:r w:rsidR="007771D8" w:rsidRPr="00CE115B">
        <w:rPr>
          <w:rFonts w:ascii="Times New Roman" w:hAnsi="Times New Roman" w:cs="Times New Roman"/>
          <w:sz w:val="22"/>
          <w:szCs w:val="22"/>
        </w:rPr>
        <w:t>he il numero dei dipendenti impiegati alla data di presentazione della domanda è</w:t>
      </w:r>
      <w:r w:rsidR="00ED7C1F" w:rsidRPr="00CE115B">
        <w:rPr>
          <w:rFonts w:ascii="Times New Roman" w:hAnsi="Times New Roman" w:cs="Times New Roman"/>
          <w:sz w:val="22"/>
          <w:szCs w:val="22"/>
        </w:rPr>
        <w:t xml:space="preserve"> pari </w:t>
      </w:r>
      <w:proofErr w:type="gramStart"/>
      <w:r w:rsidR="00ED7C1F" w:rsidRPr="00CE115B">
        <w:rPr>
          <w:rFonts w:ascii="Times New Roman" w:hAnsi="Times New Roman" w:cs="Times New Roman"/>
          <w:sz w:val="22"/>
          <w:szCs w:val="22"/>
        </w:rPr>
        <w:t xml:space="preserve">a </w:t>
      </w:r>
      <w:r w:rsidR="007771D8" w:rsidRPr="00CE115B">
        <w:rPr>
          <w:rFonts w:ascii="Times New Roman" w:hAnsi="Times New Roman" w:cs="Times New Roman"/>
          <w:sz w:val="22"/>
          <w:szCs w:val="22"/>
        </w:rPr>
        <w:t>:</w:t>
      </w:r>
      <w:proofErr w:type="gramEnd"/>
      <w:r w:rsidR="007771D8" w:rsidRPr="00CE115B">
        <w:rPr>
          <w:rFonts w:ascii="Times New Roman" w:hAnsi="Times New Roman" w:cs="Times New Roman"/>
          <w:sz w:val="22"/>
          <w:szCs w:val="22"/>
        </w:rPr>
        <w:t xml:space="preserve"> </w:t>
      </w:r>
      <w:r w:rsidR="00ED7C1F" w:rsidRPr="00CE115B">
        <w:rPr>
          <w:rFonts w:ascii="Times New Roman" w:hAnsi="Times New Roman" w:cs="Times New Roman"/>
          <w:sz w:val="22"/>
          <w:szCs w:val="22"/>
        </w:rPr>
        <w:t>_________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 e che l'operatore economico </w:t>
      </w:r>
      <w:r w:rsidR="008F3257" w:rsidRPr="00CE115B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una microimpresa, oppure un'impresa piccola o media;</w:t>
      </w:r>
    </w:p>
    <w:p w14:paraId="6484E0B2" w14:textId="3C77B530" w:rsidR="00D21D18" w:rsidRPr="00CE115B" w:rsidRDefault="00D57A15" w:rsidP="00B07E25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applicare il CCNL indicato dalla stazione appaltante o altro CCNL equivalente, con l’indicazione del relativo codice alfanumerico unico</w:t>
      </w:r>
    </w:p>
    <w:p w14:paraId="61A19B8C" w14:textId="17579B2C" w:rsidR="00D57A15" w:rsidRDefault="00D57A15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CCNL applicato e relativo codice alfanumerico</w:t>
      </w:r>
      <w:r w:rsidRPr="00CE115B">
        <w:rPr>
          <w:rFonts w:ascii="Times New Roman" w:hAnsi="Times New Roman" w:cs="Times New Roman"/>
          <w:spacing w:val="-38"/>
          <w:sz w:val="22"/>
          <w:szCs w:val="22"/>
        </w:rPr>
        <w:t xml:space="preserve"> </w:t>
      </w:r>
      <w:r w:rsidRPr="00CE115B">
        <w:rPr>
          <w:rFonts w:ascii="Times New Roman" w:hAnsi="Times New Roman" w:cs="Times New Roman"/>
          <w:sz w:val="22"/>
          <w:szCs w:val="22"/>
        </w:rPr>
        <w:t>unico</w:t>
      </w:r>
      <w:r w:rsidRPr="00CE115B">
        <w:rPr>
          <w:rFonts w:ascii="Times New Roman" w:hAnsi="Times New Roman" w:cs="Times New Roman"/>
          <w:spacing w:val="2"/>
          <w:sz w:val="22"/>
          <w:szCs w:val="22"/>
        </w:rPr>
        <w:t>…………………………………………</w:t>
      </w:r>
    </w:p>
    <w:p w14:paraId="16E8A45A" w14:textId="17347575" w:rsidR="00CE115B" w:rsidRPr="00CE115B" w:rsidRDefault="00CE115B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pacing w:val="2"/>
          <w:sz w:val="22"/>
          <w:szCs w:val="22"/>
        </w:rPr>
        <w:t>Relative lavorazioni/attività………………………………………………………………….</w:t>
      </w:r>
    </w:p>
    <w:p w14:paraId="5D40AAAC" w14:textId="77777777" w:rsidR="00DA2421" w:rsidRPr="00CE115B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aver assolto agli obblighi di cui alla legge n. 68/1999</w:t>
      </w:r>
      <w:r w:rsidR="00C07C99" w:rsidRPr="00CE115B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CE115B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610F7A20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lastRenderedPageBreak/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701FD0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701FD0">
        <w:rPr>
          <w:rFonts w:ascii="Times New Roman" w:hAnsi="Times New Roman" w:cs="Times New Roman"/>
          <w:sz w:val="22"/>
          <w:szCs w:val="22"/>
        </w:rPr>
        <w:t>Gara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 w:rsidRPr="00701FD0">
        <w:rPr>
          <w:rFonts w:ascii="Times New Roman" w:hAnsi="Times New Roman" w:cs="Times New Roman"/>
          <w:sz w:val="22"/>
          <w:szCs w:val="22"/>
        </w:rPr>
        <w:t>allegati, nel Capitolato Tecnico</w:t>
      </w:r>
      <w:r w:rsidR="004B3307" w:rsidRPr="00701FD0">
        <w:rPr>
          <w:rFonts w:ascii="Times New Roman" w:hAnsi="Times New Roman" w:cs="Times New Roman"/>
          <w:sz w:val="22"/>
          <w:szCs w:val="22"/>
        </w:rPr>
        <w:t xml:space="preserve">, </w:t>
      </w:r>
      <w:r w:rsidR="00555587" w:rsidRPr="00701FD0">
        <w:rPr>
          <w:rFonts w:ascii="Times New Roman" w:hAnsi="Times New Roman" w:cs="Times New Roman"/>
          <w:sz w:val="22"/>
          <w:szCs w:val="22"/>
        </w:rPr>
        <w:t>n</w:t>
      </w:r>
      <w:r w:rsidR="004B3307" w:rsidRPr="00701FD0">
        <w:rPr>
          <w:rFonts w:ascii="Times New Roman" w:hAnsi="Times New Roman" w:cs="Times New Roman"/>
          <w:sz w:val="22"/>
          <w:szCs w:val="22"/>
        </w:rPr>
        <w:t>el Capitolato d’oneri</w:t>
      </w:r>
      <w:r w:rsidR="00555587" w:rsidRPr="00701FD0">
        <w:rPr>
          <w:rFonts w:ascii="Times New Roman" w:hAnsi="Times New Roman" w:cs="Times New Roman"/>
          <w:sz w:val="22"/>
          <w:szCs w:val="22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e in caso di aggiudicazione,</w:t>
      </w:r>
      <w:r w:rsidR="00390C5A" w:rsidRPr="00701FD0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i requisiti particolari per l’esecu</w:t>
      </w:r>
      <w:r w:rsidR="00DA3F4E" w:rsidRPr="00701FD0">
        <w:rPr>
          <w:rFonts w:ascii="Times New Roman" w:hAnsi="Times New Roman" w:cs="Times New Roman"/>
          <w:sz w:val="22"/>
          <w:szCs w:val="22"/>
        </w:rPr>
        <w:t>zione del contratto;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070B8DD7" w:rsidR="005721DD" w:rsidRPr="00555587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</w:t>
      </w:r>
      <w:r w:rsidR="00171A8F" w:rsidRPr="00555587">
        <w:rPr>
          <w:rFonts w:ascii="Times New Roman" w:hAnsi="Times New Roman" w:cs="Times New Roman"/>
          <w:sz w:val="22"/>
          <w:szCs w:val="22"/>
        </w:rPr>
        <w:t>he</w:t>
      </w:r>
      <w:r w:rsidRPr="00555587">
        <w:rPr>
          <w:rFonts w:ascii="Times New Roman" w:hAnsi="Times New Roman" w:cs="Times New Roman"/>
          <w:sz w:val="22"/>
          <w:szCs w:val="22"/>
        </w:rPr>
        <w:t xml:space="preserve"> </w:t>
      </w:r>
      <w:r w:rsidRPr="00555587">
        <w:rPr>
          <w:rFonts w:ascii="Times New Roman" w:hAnsi="Times New Roman" w:cs="Times New Roman"/>
          <w:b/>
          <w:sz w:val="22"/>
          <w:szCs w:val="22"/>
        </w:rPr>
        <w:t>non</w:t>
      </w:r>
      <w:r w:rsidRPr="00555587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555587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555587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555587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del </w:t>
      </w:r>
      <w:proofErr w:type="spellStart"/>
      <w:r w:rsidR="00D65D87" w:rsidRPr="00555587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555587">
        <w:rPr>
          <w:rFonts w:ascii="Times New Roman" w:hAnsi="Times New Roman" w:cs="Times New Roman"/>
          <w:sz w:val="22"/>
          <w:szCs w:val="22"/>
        </w:rPr>
        <w:t xml:space="preserve"> 36/2023</w:t>
      </w:r>
      <w:r w:rsidRPr="00555587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555587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555587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555587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06F6EE64" w:rsidR="004A154D" w:rsidRPr="005743D5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i dati anagrafici di tutti i soggetti indicati a</w:t>
      </w:r>
      <w:r w:rsidR="00A6490A">
        <w:rPr>
          <w:rFonts w:ascii="Times New Roman" w:hAnsi="Times New Roman" w:cs="Times New Roman"/>
          <w:sz w:val="22"/>
          <w:szCs w:val="22"/>
        </w:rPr>
        <w:t xml:space="preserve">i </w:t>
      </w:r>
      <w:r w:rsidRPr="005743D5">
        <w:rPr>
          <w:rFonts w:ascii="Times New Roman" w:hAnsi="Times New Roman" w:cs="Times New Roman"/>
          <w:sz w:val="22"/>
          <w:szCs w:val="22"/>
        </w:rPr>
        <w:t>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5743D5">
        <w:rPr>
          <w:rFonts w:ascii="Times New Roman" w:hAnsi="Times New Roman" w:cs="Times New Roman"/>
          <w:b/>
          <w:sz w:val="22"/>
          <w:szCs w:val="22"/>
        </w:rPr>
        <w:t>ivi incluso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4C163DFB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</w:t>
      </w:r>
      <w:r w:rsidRPr="00680BB1">
        <w:rPr>
          <w:rFonts w:ascii="Times New Roman" w:hAnsi="Times New Roman" w:cs="Times New Roman"/>
          <w:sz w:val="22"/>
          <w:szCs w:val="22"/>
        </w:rPr>
        <w:t>prescritto dall’art</w:t>
      </w:r>
      <w:r w:rsidR="005743D5" w:rsidRPr="00680BB1">
        <w:rPr>
          <w:rFonts w:ascii="Times New Roman" w:hAnsi="Times New Roman" w:cs="Times New Roman"/>
          <w:sz w:val="22"/>
          <w:szCs w:val="22"/>
        </w:rPr>
        <w:t>. 15</w:t>
      </w:r>
      <w:r w:rsidR="00290597">
        <w:rPr>
          <w:rFonts w:ascii="Times New Roman" w:hAnsi="Times New Roman" w:cs="Times New Roman"/>
          <w:sz w:val="22"/>
          <w:szCs w:val="22"/>
        </w:rPr>
        <w:t xml:space="preserve"> </w:t>
      </w:r>
      <w:r w:rsidRPr="00680BB1">
        <w:rPr>
          <w:rFonts w:ascii="Times New Roman" w:hAnsi="Times New Roman" w:cs="Times New Roman"/>
          <w:sz w:val="22"/>
          <w:szCs w:val="22"/>
        </w:rPr>
        <w:t>del Disciplinare</w:t>
      </w:r>
      <w:r w:rsidRPr="00C8504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614D2DF2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CF4B01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che nei tre anni antecedenti la data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pubblicazione del bando di gara </w:t>
      </w:r>
      <w:r w:rsidR="006E24BE"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CF4B01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CF4B01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CF4B01">
        <w:rPr>
          <w:rFonts w:ascii="Times New Roman" w:hAnsi="Times New Roman" w:cs="Times New Roman"/>
          <w:sz w:val="22"/>
          <w:szCs w:val="22"/>
        </w:rPr>
        <w:t>.</w:t>
      </w:r>
      <w:r w:rsidRPr="00CF4B01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CF4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507B87E9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1F2E9733" w:rsidR="00AD6312" w:rsidRPr="00A6490A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i/>
          <w:sz w:val="22"/>
          <w:szCs w:val="22"/>
        </w:rPr>
        <w:t>(in caso di requisiti speciali richiesti dagli artt. 6.1</w:t>
      </w:r>
      <w:r w:rsidR="00701FD0" w:rsidRPr="00A6490A">
        <w:rPr>
          <w:rFonts w:ascii="Times New Roman" w:hAnsi="Times New Roman" w:cs="Times New Roman"/>
          <w:i/>
          <w:sz w:val="22"/>
          <w:szCs w:val="22"/>
        </w:rPr>
        <w:t xml:space="preserve"> e </w:t>
      </w:r>
      <w:r w:rsidRPr="00A6490A">
        <w:rPr>
          <w:rFonts w:ascii="Times New Roman" w:hAnsi="Times New Roman" w:cs="Times New Roman"/>
          <w:i/>
          <w:sz w:val="22"/>
          <w:szCs w:val="22"/>
        </w:rPr>
        <w:t>6.3)</w:t>
      </w:r>
      <w:r w:rsidRPr="00A6490A">
        <w:rPr>
          <w:rFonts w:ascii="Times New Roman" w:hAnsi="Times New Roman" w:cs="Times New Roman"/>
          <w:sz w:val="22"/>
          <w:szCs w:val="22"/>
        </w:rPr>
        <w:t xml:space="preserve"> di essere in possesso dei seguenti requisiti speciali richiesti per l’accesso alla procedura:</w:t>
      </w:r>
    </w:p>
    <w:p w14:paraId="4D3CF3E2" w14:textId="33DCE844" w:rsidR="00AD6312" w:rsidRDefault="00AD6312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CC73B04" w14:textId="422FD8C7" w:rsidR="0074489F" w:rsidRDefault="0074489F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09C1958" w14:textId="77777777" w:rsidR="0074489F" w:rsidRPr="0074489F" w:rsidRDefault="0074489F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6650529" w14:textId="1C04D213" w:rsidR="00AD6312" w:rsidRPr="00A6490A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6490A">
        <w:rPr>
          <w:rFonts w:ascii="Times New Roman" w:hAnsi="Times New Roman" w:cs="Times New Roman"/>
          <w:b/>
          <w:sz w:val="22"/>
          <w:szCs w:val="22"/>
        </w:rPr>
        <w:t xml:space="preserve">Requisiti di idoneità </w:t>
      </w:r>
      <w:r w:rsidR="00FF743A" w:rsidRPr="00A6490A">
        <w:rPr>
          <w:rFonts w:ascii="Times New Roman" w:hAnsi="Times New Roman" w:cs="Times New Roman"/>
          <w:b/>
          <w:sz w:val="22"/>
          <w:szCs w:val="22"/>
        </w:rPr>
        <w:t>professionale</w:t>
      </w:r>
    </w:p>
    <w:p w14:paraId="5C83CA7D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6FBFA05" w14:textId="21A8A6DA" w:rsidR="00AD6312" w:rsidRPr="00701FD0" w:rsidRDefault="00AD6312" w:rsidP="00701FD0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BB37F23" w14:textId="68792C5B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0BA78125" w14:textId="77777777" w:rsidR="00701FD0" w:rsidRDefault="00701FD0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0213C14" w14:textId="77777777" w:rsidR="00AD6312" w:rsidRPr="00FF743A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F743A">
        <w:rPr>
          <w:rFonts w:ascii="Times New Roman" w:hAnsi="Times New Roman" w:cs="Times New Roman"/>
          <w:b/>
          <w:sz w:val="22"/>
          <w:szCs w:val="22"/>
        </w:rPr>
        <w:t>Requisiti di capacità tecnica e professionale</w:t>
      </w: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4CF88492" w14:textId="4682F4B6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>e Generale n. 2026 del 30 novembre 2023</w:t>
      </w:r>
      <w:r w:rsidR="00B30707">
        <w:rPr>
          <w:rFonts w:ascii="Times New Roman" w:hAnsi="Times New Roman" w:cs="Times New Roman"/>
          <w:sz w:val="22"/>
          <w:szCs w:val="22"/>
        </w:rPr>
        <w:t xml:space="preserve"> 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0224291D" w14:textId="77777777" w:rsidR="00B30707" w:rsidRDefault="005E2670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4049F2CF" w14:textId="77777777" w:rsidR="00B30707" w:rsidRPr="00B30707" w:rsidRDefault="00B30707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0F7470" w14:textId="23A863B5" w:rsidR="006254DD" w:rsidRDefault="00701FD0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(</w:t>
      </w:r>
      <w:r w:rsidR="006254DD" w:rsidRPr="00FF743A">
        <w:rPr>
          <w:rFonts w:ascii="Times New Roman" w:hAnsi="Times New Roman" w:cs="Times New Roman"/>
          <w:i/>
          <w:sz w:val="22"/>
          <w:szCs w:val="22"/>
        </w:rPr>
        <w:t>in caso di servizi di cui ai settori sensibili di cui all’art 1, comma 53 della Legge n. 190/2012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)</w:t>
      </w:r>
      <w:r w:rsidR="006254DD" w:rsidRPr="009D5DD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BC50BE">
        <w:rPr>
          <w:rFonts w:ascii="Times New Roman" w:hAnsi="Times New Roman" w:cs="Times New Roman"/>
          <w:sz w:val="22"/>
          <w:szCs w:val="22"/>
        </w:rPr>
        <w:t>di essere iscritto nell’elenco dei fornitori, prestatori di servizi non soggetti a tentativo di infiltrazione mafiosa white list)</w:t>
      </w:r>
      <w:r w:rsidR="006254DD" w:rsidRPr="00627BB3">
        <w:rPr>
          <w:rFonts w:ascii="Times New Roman" w:hAnsi="Times New Roman" w:cs="Times New Roman"/>
          <w:sz w:val="22"/>
          <w:szCs w:val="22"/>
        </w:rPr>
        <w:t xml:space="preserve"> istituito presso la Prefettura della provincia di … oppure di aver presentato domanda di iscrizione nell’elenco dei fornitori, prestatori di servizi non soggetti a tentativo di infiltrazione mafiosa (white list) istituito presso la Prefettura della provincia di …; </w:t>
      </w:r>
    </w:p>
    <w:p w14:paraId="3CFC0839" w14:textId="77777777" w:rsidR="00A6490A" w:rsidRDefault="00A6490A" w:rsidP="00A6490A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FF2BCEF" w14:textId="3BE05DBC" w:rsidR="00A4369A" w:rsidRPr="00FC0EA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FC0EA8">
        <w:rPr>
          <w:rFonts w:ascii="Times New Roman" w:hAnsi="Times New Roman" w:cs="Times New Roman"/>
          <w:sz w:val="22"/>
          <w:szCs w:val="22"/>
        </w:rPr>
        <w:t xml:space="preserve">come previsto dallo specifico </w:t>
      </w:r>
      <w:proofErr w:type="gramStart"/>
      <w:r w:rsidR="00FC0EA8" w:rsidRPr="00FC0EA8">
        <w:rPr>
          <w:rFonts w:ascii="Times New Roman" w:hAnsi="Times New Roman" w:cs="Times New Roman"/>
          <w:sz w:val="22"/>
          <w:szCs w:val="22"/>
        </w:rPr>
        <w:t xml:space="preserve">articolo </w:t>
      </w:r>
      <w:r w:rsidRPr="00FC0EA8">
        <w:rPr>
          <w:rFonts w:ascii="Times New Roman" w:hAnsi="Times New Roman" w:cs="Times New Roman"/>
          <w:sz w:val="22"/>
          <w:szCs w:val="22"/>
        </w:rPr>
        <w:t xml:space="preserve"> del</w:t>
      </w:r>
      <w:proofErr w:type="gramEnd"/>
      <w:r w:rsidRPr="00FC0EA8">
        <w:rPr>
          <w:rFonts w:ascii="Times New Roman" w:hAnsi="Times New Roman" w:cs="Times New Roman"/>
          <w:sz w:val="22"/>
          <w:szCs w:val="22"/>
        </w:rPr>
        <w:t xml:space="preserve"> Disciplinare</w:t>
      </w:r>
      <w:r w:rsidR="00B14DC0">
        <w:rPr>
          <w:rFonts w:ascii="Times New Roman" w:hAnsi="Times New Roman" w:cs="Times New Roman"/>
          <w:sz w:val="22"/>
          <w:szCs w:val="22"/>
        </w:rPr>
        <w:t xml:space="preserve"> e nel capitolato d’oneri </w:t>
      </w:r>
      <w:r w:rsidR="00627BB3" w:rsidRPr="00FC0EA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FC0EA8">
        <w:rPr>
          <w:rFonts w:ascii="Times New Roman" w:hAnsi="Times New Roman" w:cs="Times New Roman"/>
          <w:sz w:val="18"/>
          <w:szCs w:val="22"/>
        </w:rPr>
        <w:t xml:space="preserve"> </w:t>
      </w:r>
      <w:r w:rsidRPr="00FC0EA8">
        <w:rPr>
          <w:rFonts w:ascii="Times New Roman" w:hAnsi="Times New Roman" w:cs="Times New Roman"/>
          <w:sz w:val="22"/>
          <w:szCs w:val="22"/>
        </w:rPr>
        <w:t>di impegnarsi ad</w:t>
      </w:r>
      <w:r w:rsidRPr="00627BB3">
        <w:rPr>
          <w:rFonts w:ascii="Times New Roman" w:hAnsi="Times New Roman" w:cs="Times New Roman"/>
          <w:sz w:val="22"/>
          <w:szCs w:val="22"/>
        </w:rPr>
        <w:t xml:space="preserve"> uniformarsi, in caso di aggiudicazione, alla disciplina di cui agli articoli 17, comma 2, e 53,  comma  3  del 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6C8CD152" w:rsidR="007137ED" w:rsidRPr="00FF743A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non essere a conoscenza della partecipazione alla procedura</w:t>
      </w:r>
      <w:r w:rsidR="007217DC" w:rsidRPr="00627BB3">
        <w:rPr>
          <w:rFonts w:ascii="Times New Roman" w:hAnsi="Times New Roman" w:cs="Times New Roman"/>
          <w:sz w:val="22"/>
          <w:szCs w:val="22"/>
        </w:rPr>
        <w:t xml:space="preserve"> o</w:t>
      </w:r>
      <w:r w:rsidR="007217DC" w:rsidRPr="00FF743A">
        <w:rPr>
          <w:rFonts w:ascii="Times New Roman" w:hAnsi="Times New Roman" w:cs="Times New Roman"/>
          <w:sz w:val="22"/>
          <w:szCs w:val="22"/>
        </w:rPr>
        <w:t>, in caso di suddivisione in lotti, ai lotti n</w:t>
      </w:r>
      <w:r w:rsidR="00290597">
        <w:rPr>
          <w:rFonts w:ascii="Times New Roman" w:hAnsi="Times New Roman" w:cs="Times New Roman"/>
          <w:sz w:val="22"/>
          <w:szCs w:val="22"/>
        </w:rPr>
        <w:t>.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sé</w:t>
      </w:r>
      <w:r w:rsidRPr="00FF743A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FF743A">
        <w:rPr>
          <w:rFonts w:ascii="Times New Roman" w:hAnsi="Times New Roman" w:cs="Times New Roman"/>
          <w:sz w:val="22"/>
          <w:szCs w:val="22"/>
        </w:rPr>
        <w:t>controllo</w:t>
      </w:r>
      <w:r w:rsidRPr="00FF743A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FF743A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2BD43F83" w:rsidR="00A8547C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  <w:r w:rsidRPr="00FF743A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FF743A">
        <w:rPr>
          <w:rFonts w:ascii="Times New Roman" w:hAnsi="Times New Roman" w:cs="Times New Roman"/>
          <w:sz w:val="22"/>
          <w:szCs w:val="22"/>
        </w:rPr>
        <w:t>procedura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o, in caso di suddivisione in lotti, ai lotti n.</w:t>
      </w:r>
      <w:r w:rsidR="007217DC" w:rsidRPr="00FF743A">
        <w:rPr>
          <w:rFonts w:ascii="Times New Roman" w:hAnsi="Times New Roman" w:cs="Times New Roman"/>
          <w:b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b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b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 w:rsidRPr="00FF743A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FF743A">
        <w:rPr>
          <w:rFonts w:ascii="Times New Roman" w:hAnsi="Times New Roman" w:cs="Times New Roman"/>
          <w:sz w:val="22"/>
          <w:szCs w:val="22"/>
        </w:rPr>
        <w:t>, in una situazione di controllo</w:t>
      </w:r>
      <w:r w:rsidRPr="00985712">
        <w:rPr>
          <w:rFonts w:ascii="Times New Roman" w:hAnsi="Times New Roman" w:cs="Times New Roman"/>
          <w:sz w:val="22"/>
          <w:szCs w:val="22"/>
        </w:rPr>
        <w:t xml:space="preserve">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4F1C193C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040102D2" w14:textId="77777777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8C1B1E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77777777" w:rsidR="00CF00D0" w:rsidRDefault="00AD6312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 xml:space="preserve">(eventuale 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in caso di assolvimento dell’imposta di bollo da € 16,00 mediante acquisto</w:t>
      </w:r>
      <w:r w:rsidR="008130FE" w:rsidRPr="00AD6312">
        <w:rPr>
          <w:rFonts w:ascii="Times New Roman" w:hAnsi="Times New Roman" w:cs="Times New Roman"/>
          <w:i/>
          <w:sz w:val="22"/>
          <w:szCs w:val="22"/>
        </w:rPr>
        <w:t xml:space="preserve"> della marca da bollo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>)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:</w:t>
      </w:r>
      <w:r w:rsidR="009C7F7C" w:rsidRPr="00AD6312">
        <w:rPr>
          <w:rFonts w:ascii="Times New Roman" w:hAnsi="Times New Roman" w:cs="Times New Roman"/>
          <w:sz w:val="22"/>
          <w:szCs w:val="22"/>
        </w:rPr>
        <w:t xml:space="preserve"> che il </w:t>
      </w:r>
      <w:r w:rsidR="00B85798" w:rsidRPr="00AD6312">
        <w:rPr>
          <w:rFonts w:ascii="Times New Roman" w:hAnsi="Times New Roman" w:cs="Times New Roman"/>
          <w:sz w:val="22"/>
          <w:szCs w:val="22"/>
        </w:rPr>
        <w:t>numero seriale è il seguente: _____________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___</w:t>
      </w:r>
      <w:r w:rsidR="003260A0" w:rsidRPr="00AD6312">
        <w:rPr>
          <w:rFonts w:ascii="Times New Roman" w:hAnsi="Times New Roman" w:cs="Times New Roman"/>
          <w:sz w:val="22"/>
          <w:szCs w:val="22"/>
        </w:rPr>
        <w:t>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</w:t>
      </w:r>
      <w:r w:rsidR="008130FE" w:rsidRPr="00AD6312">
        <w:rPr>
          <w:rFonts w:ascii="Times New Roman" w:hAnsi="Times New Roman" w:cs="Times New Roman"/>
          <w:sz w:val="22"/>
          <w:szCs w:val="22"/>
        </w:rPr>
        <w:t xml:space="preserve"> allegando </w:t>
      </w:r>
      <w:r w:rsidR="00B85798" w:rsidRPr="00AD6312">
        <w:rPr>
          <w:rFonts w:ascii="Times New Roman" w:eastAsia="Trebuchet MS" w:hAnsi="Times New Roman"/>
          <w:sz w:val="22"/>
        </w:rPr>
        <w:t>copia del contrassegno in formato.pdf</w:t>
      </w: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16AAA056" w14:textId="515B417B" w:rsidR="00FF743A" w:rsidRDefault="00F8279D" w:rsidP="00290597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</w:t>
      </w:r>
    </w:p>
    <w:p w14:paraId="34EBEE24" w14:textId="5A1BA87A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21B4282" w14:textId="77777777" w:rsidR="00290597" w:rsidRP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EEF595" w14:textId="08953F0A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60A009D2" w14:textId="76A5970D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49A0BECA" w14:textId="36C428F8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1E6486EA" w14:textId="77777777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690E179" w14:textId="77777777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37419237" w14:textId="77777777" w:rsidR="00FF743A" w:rsidRDefault="00FF743A" w:rsidP="003E73D3">
      <w:pPr>
        <w:autoSpaceDE w:val="0"/>
        <w:autoSpaceDN w:val="0"/>
        <w:adjustRightInd w:val="0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4C247525" w14:textId="69931887" w:rsidR="001F7767" w:rsidRDefault="001F7767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4B20D6FF" w14:textId="45E4DA50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7981B8E" w14:textId="21661764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649C1418" w14:textId="52BBC278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8206910" w14:textId="5E6B3AC4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AEA8984" w14:textId="11988A2A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3F927DB" w14:textId="287AB1AF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5FF581A" w14:textId="2FE38289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6661D73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F03D936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63B13390" w14:textId="580FCBA0" w:rsidR="005743D5" w:rsidRPr="001F7767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 xml:space="preserve">partecipazione plurisoggettiva, vedere le prescrizioni di cui all’art. </w:t>
      </w:r>
      <w:r w:rsidR="00A6490A">
        <w:rPr>
          <w:rFonts w:ascii="Times New Roman" w:hAnsi="Times New Roman" w:cs="Times New Roman"/>
          <w:b/>
          <w:bCs/>
          <w:sz w:val="20"/>
          <w:szCs w:val="22"/>
        </w:rPr>
        <w:t>15.1</w:t>
      </w:r>
      <w:r w:rsidR="00FF743A">
        <w:rPr>
          <w:rFonts w:ascii="Times New Roman" w:hAnsi="Times New Roman" w:cs="Times New Roman"/>
          <w:b/>
          <w:bCs/>
          <w:sz w:val="20"/>
          <w:szCs w:val="22"/>
        </w:rPr>
        <w:t xml:space="preserve">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9E73D" w14:textId="77777777" w:rsidR="00513297" w:rsidRDefault="00513297">
      <w:r>
        <w:separator/>
      </w:r>
    </w:p>
  </w:endnote>
  <w:endnote w:type="continuationSeparator" w:id="0">
    <w:p w14:paraId="59D1F972" w14:textId="77777777" w:rsidR="00513297" w:rsidRDefault="0051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9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A3215" w14:textId="77777777" w:rsidR="00513297" w:rsidRDefault="00513297">
      <w:r>
        <w:separator/>
      </w:r>
    </w:p>
  </w:footnote>
  <w:footnote w:type="continuationSeparator" w:id="0">
    <w:p w14:paraId="1B020578" w14:textId="77777777" w:rsidR="00513297" w:rsidRDefault="00513297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D378E"/>
    <w:rsid w:val="000E07F7"/>
    <w:rsid w:val="000E1CC5"/>
    <w:rsid w:val="000E5781"/>
    <w:rsid w:val="000F2C55"/>
    <w:rsid w:val="00107742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2DE4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90597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335C"/>
    <w:rsid w:val="004946AD"/>
    <w:rsid w:val="00494E85"/>
    <w:rsid w:val="004A154D"/>
    <w:rsid w:val="004A5A8B"/>
    <w:rsid w:val="004A5C79"/>
    <w:rsid w:val="004B3307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3297"/>
    <w:rsid w:val="005155FC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55587"/>
    <w:rsid w:val="00563D12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2670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67AC9"/>
    <w:rsid w:val="00671656"/>
    <w:rsid w:val="00674962"/>
    <w:rsid w:val="00676D92"/>
    <w:rsid w:val="006804BC"/>
    <w:rsid w:val="00680BB1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1FD0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43E00"/>
    <w:rsid w:val="0074489F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330C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67106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90A"/>
    <w:rsid w:val="00A64A3F"/>
    <w:rsid w:val="00A73597"/>
    <w:rsid w:val="00A751B5"/>
    <w:rsid w:val="00A8330A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4DC0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E115B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1D18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57A15"/>
    <w:rsid w:val="00D620CE"/>
    <w:rsid w:val="00D65D87"/>
    <w:rsid w:val="00D707EE"/>
    <w:rsid w:val="00D754BD"/>
    <w:rsid w:val="00D83324"/>
    <w:rsid w:val="00D848F3"/>
    <w:rsid w:val="00D8677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D359B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3EF9"/>
    <w:rsid w:val="00FF743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555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5558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A4FB-0FE4-40BD-BF35-6944F597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2460</Words>
  <Characters>17473</Characters>
  <Application>Microsoft Office Word</Application>
  <DocSecurity>0</DocSecurity>
  <Lines>145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19894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Laura Baggio</cp:lastModifiedBy>
  <cp:revision>8</cp:revision>
  <cp:lastPrinted>2025-02-20T12:29:00Z</cp:lastPrinted>
  <dcterms:created xsi:type="dcterms:W3CDTF">2025-04-11T10:13:00Z</dcterms:created>
  <dcterms:modified xsi:type="dcterms:W3CDTF">2025-07-10T13:40:00Z</dcterms:modified>
</cp:coreProperties>
</file>