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E5D" w:rsidRPr="004877EE" w:rsidRDefault="004877EE" w:rsidP="004877EE">
      <w:pPr>
        <w:jc w:val="center"/>
        <w:rPr>
          <w:b/>
          <w:color w:val="002060"/>
          <w:sz w:val="36"/>
          <w:szCs w:val="36"/>
        </w:rPr>
      </w:pPr>
      <w:r w:rsidRPr="004877EE">
        <w:rPr>
          <w:b/>
          <w:color w:val="002060"/>
          <w:sz w:val="36"/>
          <w:szCs w:val="36"/>
        </w:rPr>
        <w:t>Bilancio Economico Preventivo 2017 in forma sintetica</w:t>
      </w:r>
    </w:p>
    <w:p w:rsidR="004877EE" w:rsidRDefault="004877EE"/>
    <w:p w:rsidR="004877EE" w:rsidRDefault="004877EE">
      <w:r w:rsidRPr="004877EE">
        <w:rPr>
          <w:noProof/>
          <w:lang w:eastAsia="it-IT"/>
        </w:rPr>
        <w:drawing>
          <wp:inline distT="0" distB="0" distL="0" distR="0">
            <wp:extent cx="6120130" cy="3562136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62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7EE" w:rsidRDefault="004877EE"/>
    <w:p w:rsidR="00563DB4" w:rsidRPr="00563DB4" w:rsidRDefault="00563DB4" w:rsidP="00563DB4">
      <w:pPr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Rappresentazioni grafiche</w:t>
      </w:r>
    </w:p>
    <w:p w:rsidR="00563DB4" w:rsidRDefault="007F6462">
      <w:r>
        <w:rPr>
          <w:noProof/>
          <w:lang w:eastAsia="it-IT"/>
        </w:rPr>
        <w:drawing>
          <wp:inline distT="0" distB="0" distL="0" distR="0">
            <wp:extent cx="6120130" cy="3566160"/>
            <wp:effectExtent l="0" t="0" r="13970" b="15240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63DB4" w:rsidRDefault="007F6462">
      <w:r>
        <w:rPr>
          <w:noProof/>
          <w:lang w:eastAsia="it-IT"/>
        </w:rPr>
        <w:lastRenderedPageBreak/>
        <w:drawing>
          <wp:inline distT="0" distB="0" distL="0" distR="0">
            <wp:extent cx="6120130" cy="3466465"/>
            <wp:effectExtent l="0" t="0" r="13970" b="635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F6462" w:rsidRDefault="007F6462"/>
    <w:p w:rsidR="007F6462" w:rsidRDefault="007F6462">
      <w:r>
        <w:rPr>
          <w:noProof/>
          <w:lang w:eastAsia="it-IT"/>
        </w:rPr>
        <w:drawing>
          <wp:inline distT="0" distB="0" distL="0" distR="0">
            <wp:extent cx="6120130" cy="4711700"/>
            <wp:effectExtent l="0" t="0" r="13970" b="1270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F6462" w:rsidRDefault="007F6462"/>
    <w:p w:rsidR="007F6462" w:rsidRDefault="007F6462">
      <w:r>
        <w:rPr>
          <w:noProof/>
          <w:lang w:eastAsia="it-IT"/>
        </w:rPr>
        <w:lastRenderedPageBreak/>
        <w:drawing>
          <wp:inline distT="0" distB="0" distL="0" distR="0">
            <wp:extent cx="6120130" cy="3472180"/>
            <wp:effectExtent l="57150" t="57150" r="52070" b="5207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F6462" w:rsidRDefault="007F6462">
      <w:r>
        <w:rPr>
          <w:noProof/>
          <w:lang w:eastAsia="it-IT"/>
        </w:rPr>
        <w:drawing>
          <wp:inline distT="0" distB="0" distL="0" distR="0">
            <wp:extent cx="6120130" cy="3653155"/>
            <wp:effectExtent l="57150" t="57150" r="52070" b="61595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Start w:id="0" w:name="_GoBack"/>
      <w:bookmarkEnd w:id="0"/>
    </w:p>
    <w:sectPr w:rsidR="007F6462" w:rsidSect="006F47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4877EE"/>
    <w:rsid w:val="00392307"/>
    <w:rsid w:val="004877EE"/>
    <w:rsid w:val="00563DB4"/>
    <w:rsid w:val="006F4754"/>
    <w:rsid w:val="007F6462"/>
    <w:rsid w:val="00B64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47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77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3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webSettings" Target="webSettings.xml"/><Relationship Id="rId7" Type="http://schemas.openxmlformats.org/officeDocument/2006/relationships/chart" Target="charts/chart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rvdfs\DFS\Servizi\finanziario\Archivio%20condiviso\Bilancio%20e%20rendicontazioni\2017\0%20Preventivo%202017\PREVENTIVO%202017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rvdfs\DFS\Servizi\finanziario\Archivio%20condiviso\Bilancio%20e%20rendicontazioni\2017\0%20Preventivo%202017\PREVENTIVO%202017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srvdfs\DFS\Servizi\finanziario\Archivio%20condiviso\Bilancio%20e%20rendicontazioni\2017\0%20Preventivo%202017\PREVENTIVO%202017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srvdfs\DFS\Servizi\finanziario\Archivio%20condiviso\Bilancio%20e%20rendicontazioni\2017\0%20Preventivo%202017\PREVENTIVO%202017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srvdfs\DFS\Servizi\finanziario\Archivio%20condiviso\Bilancio%20e%20rendicontazioni\2017\0%20Preventivo%202017\PREVENTIVO%202017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600" b="1"/>
              <a:t>Variazione tra Preconsuntivo 2016 e Preventivo 2017</a:t>
            </a:r>
          </a:p>
        </c:rich>
      </c:tx>
      <c:layout>
        <c:manualLayout>
          <c:xMode val="edge"/>
          <c:yMode val="edge"/>
          <c:x val="0.16416063807930323"/>
          <c:y val="5.2344583984205967E-2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1052360017497813"/>
          <c:y val="0.2739814814814816"/>
          <c:w val="0.76275021872265969"/>
          <c:h val="0.641767279090114"/>
        </c:manualLayout>
      </c:layout>
      <c:barChart>
        <c:barDir val="bar"/>
        <c:grouping val="clustered"/>
        <c:ser>
          <c:idx val="0"/>
          <c:order val="0"/>
          <c:tx>
            <c:strRef>
              <c:f>Supersintesi!$G$1</c:f>
              <c:strCache>
                <c:ptCount val="1"/>
                <c:pt idx="0">
                  <c:v>Variazione tra Preconsuntivo 2016 e Preventivo 2017</c:v>
                </c:pt>
              </c:strCache>
            </c:strRef>
          </c:tx>
          <c:spPr>
            <a:solidFill>
              <a:srgbClr val="0070C0">
                <a:alpha val="95294"/>
              </a:srgbClr>
            </a:solidFill>
            <a:ln>
              <a:noFill/>
            </a:ln>
            <a:effectLst/>
          </c:spPr>
          <c:invertIfNegative val="1"/>
          <c:cat>
            <c:strRef>
              <c:f>Supersintesi!$F$2:$F$10</c:f>
              <c:strCache>
                <c:ptCount val="9"/>
                <c:pt idx="0">
                  <c:v>Contributi in c/esercizio</c:v>
                </c:pt>
                <c:pt idx="1">
                  <c:v>Mobilità attiva</c:v>
                </c:pt>
                <c:pt idx="2">
                  <c:v>Altri ricavi</c:v>
                </c:pt>
                <c:pt idx="3">
                  <c:v>Acquisti di beni</c:v>
                </c:pt>
                <c:pt idx="4">
                  <c:v>Acquisti servizi sanitari</c:v>
                </c:pt>
                <c:pt idx="5">
                  <c:v>Acquisti di servizi non sanitari</c:v>
                </c:pt>
                <c:pt idx="6">
                  <c:v>Costi per il mantenimento del patrimonio immobiliare</c:v>
                </c:pt>
                <c:pt idx="7">
                  <c:v>Totale Costo del personale</c:v>
                </c:pt>
                <c:pt idx="8">
                  <c:v>Altri costi</c:v>
                </c:pt>
              </c:strCache>
            </c:strRef>
          </c:cat>
          <c:val>
            <c:numRef>
              <c:f>Supersintesi!$G$2:$G$10</c:f>
              <c:numCache>
                <c:formatCode>_-[$€-410]\ * #,##0.00_-;\-[$€-410]\ * #,##0.00_-;_-[$€-410]\ * "-"??_-;_-@_-</c:formatCode>
                <c:ptCount val="9"/>
                <c:pt idx="0">
                  <c:v>-31007409</c:v>
                </c:pt>
                <c:pt idx="1">
                  <c:v>0</c:v>
                </c:pt>
                <c:pt idx="2">
                  <c:v>-1948663</c:v>
                </c:pt>
                <c:pt idx="3">
                  <c:v>3378514</c:v>
                </c:pt>
                <c:pt idx="4">
                  <c:v>5859566</c:v>
                </c:pt>
                <c:pt idx="5">
                  <c:v>719249</c:v>
                </c:pt>
                <c:pt idx="6">
                  <c:v>472169</c:v>
                </c:pt>
                <c:pt idx="7">
                  <c:v>-1553455</c:v>
                </c:pt>
                <c:pt idx="8">
                  <c:v>1714910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0000"/>
                  </a:solidFill>
                  <a:ln>
                    <a:noFill/>
                  </a:ln>
                  <a:effectLst/>
                </c14:spPr>
              </c14:invertSolidFillFmt>
            </c:ext>
          </c:extLst>
        </c:ser>
        <c:gapWidth val="182"/>
        <c:axId val="80111488"/>
        <c:axId val="80113024"/>
      </c:barChart>
      <c:catAx>
        <c:axId val="80111488"/>
        <c:scaling>
          <c:orientation val="maxMin"/>
        </c:scaling>
        <c:axPos val="l"/>
        <c:numFmt formatCode="General" sourceLinked="1"/>
        <c:majorTickMark val="in"/>
        <c:minorTickMark val="in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80113024"/>
        <c:crosses val="autoZero"/>
        <c:auto val="1"/>
        <c:lblAlgn val="ctr"/>
        <c:lblOffset val="10"/>
        <c:tickLblSkip val="1"/>
      </c:catAx>
      <c:valAx>
        <c:axId val="80113024"/>
        <c:scaling>
          <c:orientation val="minMax"/>
          <c:max val="6000000"/>
          <c:min val="-32000000"/>
        </c:scaling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[$€-410]\ * #,##0_-;\-[$€-410]\ * #,##0_-;_-[$€-410]\ * &quot;-&quot;_-;_-@_-" sourceLinked="0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80111488"/>
        <c:crosses val="autoZero"/>
        <c:crossBetween val="between"/>
        <c:dispUnits>
          <c:builtInUnit val="thousands"/>
          <c:dispUnits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</c:dispUnitsLbl>
        </c:dispUnits>
      </c:valAx>
      <c:spPr>
        <a:solidFill>
          <a:schemeClr val="bg1"/>
        </a:solidFill>
        <a:ln w="15875" cap="rnd">
          <a:solidFill>
            <a:schemeClr val="bg1">
              <a:alpha val="24000"/>
            </a:schemeClr>
          </a:solidFill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2"/>
      </a:solidFill>
      <a:round/>
    </a:ln>
    <a:effectLst/>
  </c:spPr>
  <c:txPr>
    <a:bodyPr/>
    <a:lstStyle/>
    <a:p>
      <a:pPr>
        <a:defRPr/>
      </a:pPr>
      <a:endParaRPr lang="it-IT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it-IT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2000" b="1"/>
              <a:t>Composizione</a:t>
            </a:r>
            <a:r>
              <a:rPr lang="it-IT" sz="2000" b="1" baseline="0"/>
              <a:t> variazione </a:t>
            </a:r>
            <a:r>
              <a:rPr lang="it-IT" sz="2000" b="1"/>
              <a:t>2017/</a:t>
            </a:r>
            <a:r>
              <a:rPr lang="it-IT" sz="2000" b="1" baseline="0"/>
              <a:t>2016</a:t>
            </a:r>
            <a:endParaRPr lang="it-IT" sz="2000" b="1"/>
          </a:p>
        </c:rich>
      </c:tx>
      <c:layout>
        <c:manualLayout>
          <c:xMode val="edge"/>
          <c:yMode val="edge"/>
          <c:x val="0.19083580276881817"/>
          <c:y val="0.11699369275537552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18654584851768"/>
          <c:y val="0.32060987189470352"/>
          <c:w val="0.7813454151482323"/>
          <c:h val="0.6030896079958209"/>
        </c:manualLayout>
      </c:layout>
      <c:pie3D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cat>
            <c:strRef>
              <c:f>Supersintesi!$I$2:$I$10</c:f>
              <c:strCache>
                <c:ptCount val="9"/>
                <c:pt idx="0">
                  <c:v>Contributi in c/esercizio</c:v>
                </c:pt>
                <c:pt idx="1">
                  <c:v>Mobilità attiva</c:v>
                </c:pt>
                <c:pt idx="2">
                  <c:v>Altri ricavi</c:v>
                </c:pt>
                <c:pt idx="3">
                  <c:v>Acquisti di beni</c:v>
                </c:pt>
                <c:pt idx="4">
                  <c:v>Acquisti servizi sanitari</c:v>
                </c:pt>
                <c:pt idx="5">
                  <c:v>Acquisti di servizi non sanitari</c:v>
                </c:pt>
                <c:pt idx="6">
                  <c:v>Costi per il mantenimento del patrimonio immobiliare</c:v>
                </c:pt>
                <c:pt idx="7">
                  <c:v>Totale Costo del personale</c:v>
                </c:pt>
                <c:pt idx="8">
                  <c:v>Altri costi</c:v>
                </c:pt>
              </c:strCache>
            </c:strRef>
          </c:cat>
          <c:val>
            <c:numRef>
              <c:f>Supersintesi!$J$2:$J$10</c:f>
              <c:numCache>
                <c:formatCode>0%</c:formatCode>
                <c:ptCount val="9"/>
                <c:pt idx="0">
                  <c:v>-4.0000000000000015E-2</c:v>
                </c:pt>
                <c:pt idx="1">
                  <c:v>0</c:v>
                </c:pt>
                <c:pt idx="2">
                  <c:v>-4.0000000000000015E-2</c:v>
                </c:pt>
                <c:pt idx="3">
                  <c:v>2.0000000000000007E-2</c:v>
                </c:pt>
                <c:pt idx="4">
                  <c:v>1.0000000000000004E-2</c:v>
                </c:pt>
                <c:pt idx="5">
                  <c:v>1.0000000000000004E-2</c:v>
                </c:pt>
                <c:pt idx="6">
                  <c:v>1.0000000000000004E-2</c:v>
                </c:pt>
                <c:pt idx="7">
                  <c:v>-1.0000000000000004E-2</c:v>
                </c:pt>
                <c:pt idx="8">
                  <c:v>6.0000000000000019E-2</c:v>
                </c:pt>
              </c:numCache>
            </c:numRef>
          </c:val>
        </c:ser>
      </c:pie3DChart>
      <c:spPr>
        <a:noFill/>
        <a:ln>
          <a:noFill/>
        </a:ln>
        <a:effectLst>
          <a:glow>
            <a:schemeClr val="accent1"/>
          </a:glow>
          <a:outerShdw blurRad="50800" dist="50800" dir="5400000" sx="2000" sy="2000" algn="ctr" rotWithShape="0">
            <a:srgbClr val="000000">
              <a:alpha val="43137"/>
            </a:srgbClr>
          </a:outerShdw>
        </a:effectLst>
      </c:spPr>
    </c:plotArea>
    <c:legend>
      <c:legendPos val="b"/>
      <c:layout>
        <c:manualLayout>
          <c:xMode val="edge"/>
          <c:yMode val="edge"/>
          <c:x val="0"/>
          <c:y val="0.2694808323942014"/>
          <c:w val="0.35960433070866155"/>
          <c:h val="0.6616383393733499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2"/>
      </a:solidFill>
      <a:round/>
    </a:ln>
    <a:effectLst/>
  </c:spPr>
  <c:txPr>
    <a:bodyPr/>
    <a:lstStyle/>
    <a:p>
      <a:pPr>
        <a:defRPr/>
      </a:pPr>
      <a:endParaRPr lang="it-IT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it-IT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600" b="1"/>
              <a:t>Preconsuntivo</a:t>
            </a:r>
            <a:r>
              <a:rPr lang="it-IT" sz="1600" b="1" baseline="0"/>
              <a:t> 2016 e Preventivo 2017 a confronto</a:t>
            </a:r>
            <a:endParaRPr lang="it-IT" sz="1600" b="1"/>
          </a:p>
        </c:rich>
      </c:tx>
      <c:layout>
        <c:manualLayout>
          <c:xMode val="edge"/>
          <c:yMode val="edge"/>
          <c:x val="0.15438642255607626"/>
          <c:y val="5.6394745456067916E-2"/>
        </c:manualLayout>
      </c:layout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ser>
          <c:idx val="0"/>
          <c:order val="0"/>
          <c:tx>
            <c:strRef>
              <c:f>Supersintesi!$B$1</c:f>
              <c:strCache>
                <c:ptCount val="1"/>
                <c:pt idx="0">
                  <c:v>Preconsuntivo 2016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cat>
            <c:strRef>
              <c:f>Supersintesi!$A$2:$A$15</c:f>
              <c:strCache>
                <c:ptCount val="14"/>
                <c:pt idx="0">
                  <c:v>Contributi in c/esercizio</c:v>
                </c:pt>
                <c:pt idx="1">
                  <c:v>Mobilità attiva</c:v>
                </c:pt>
                <c:pt idx="2">
                  <c:v>Altri ricavi</c:v>
                </c:pt>
                <c:pt idx="3">
                  <c:v>Totale valore della produzione</c:v>
                </c:pt>
                <c:pt idx="5">
                  <c:v>Acquisti di beni</c:v>
                </c:pt>
                <c:pt idx="6">
                  <c:v>Acquisti servizi sanitari</c:v>
                </c:pt>
                <c:pt idx="7">
                  <c:v>Acquisti di servizi non sanitari</c:v>
                </c:pt>
                <c:pt idx="8">
                  <c:v>Costi per il mantenimento del patrimonio immobiliare</c:v>
                </c:pt>
                <c:pt idx="9">
                  <c:v>Totale Costo del personale</c:v>
                </c:pt>
                <c:pt idx="10">
                  <c:v>Altri costi</c:v>
                </c:pt>
                <c:pt idx="11">
                  <c:v>Totale Costi</c:v>
                </c:pt>
                <c:pt idx="13">
                  <c:v>Perdita d'esercizio</c:v>
                </c:pt>
              </c:strCache>
            </c:strRef>
          </c:cat>
          <c:val>
            <c:numRef>
              <c:f>Supersintesi!$B$2:$B$15</c:f>
              <c:numCache>
                <c:formatCode>#,##0</c:formatCode>
                <c:ptCount val="14"/>
                <c:pt idx="0">
                  <c:v>797087498</c:v>
                </c:pt>
                <c:pt idx="1">
                  <c:v>80268669</c:v>
                </c:pt>
                <c:pt idx="2">
                  <c:v>54288462</c:v>
                </c:pt>
                <c:pt idx="3">
                  <c:v>931644629</c:v>
                </c:pt>
                <c:pt idx="5">
                  <c:v>142260610</c:v>
                </c:pt>
                <c:pt idx="6">
                  <c:v>392785833</c:v>
                </c:pt>
                <c:pt idx="7">
                  <c:v>56646527</c:v>
                </c:pt>
                <c:pt idx="8">
                  <c:v>44097648</c:v>
                </c:pt>
                <c:pt idx="9">
                  <c:v>272071455</c:v>
                </c:pt>
                <c:pt idx="10">
                  <c:v>30216218</c:v>
                </c:pt>
                <c:pt idx="11">
                  <c:v>938078291</c:v>
                </c:pt>
                <c:pt idx="13" formatCode="_-* #,##0_-;\-* #,##0_-;_-* &quot;-&quot;??_-;_-@_-">
                  <c:v>-6433662</c:v>
                </c:pt>
              </c:numCache>
            </c:numRef>
          </c:val>
        </c:ser>
        <c:ser>
          <c:idx val="1"/>
          <c:order val="1"/>
          <c:tx>
            <c:strRef>
              <c:f>Supersintesi!$C$1</c:f>
              <c:strCache>
                <c:ptCount val="1"/>
                <c:pt idx="0">
                  <c:v>Preventivo   2017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>
              <a:outerShdw blurRad="50800" dist="50800" dir="5400000" sx="5000" sy="5000" algn="ctr" rotWithShape="0">
                <a:srgbClr val="000000">
                  <a:alpha val="43137"/>
                </a:srgbClr>
              </a:outerShdw>
            </a:effectLst>
            <a:sp3d/>
          </c:spPr>
          <c:cat>
            <c:strRef>
              <c:f>Supersintesi!$A$2:$A$15</c:f>
              <c:strCache>
                <c:ptCount val="14"/>
                <c:pt idx="0">
                  <c:v>Contributi in c/esercizio</c:v>
                </c:pt>
                <c:pt idx="1">
                  <c:v>Mobilità attiva</c:v>
                </c:pt>
                <c:pt idx="2">
                  <c:v>Altri ricavi</c:v>
                </c:pt>
                <c:pt idx="3">
                  <c:v>Totale valore della produzione</c:v>
                </c:pt>
                <c:pt idx="5">
                  <c:v>Acquisti di beni</c:v>
                </c:pt>
                <c:pt idx="6">
                  <c:v>Acquisti servizi sanitari</c:v>
                </c:pt>
                <c:pt idx="7">
                  <c:v>Acquisti di servizi non sanitari</c:v>
                </c:pt>
                <c:pt idx="8">
                  <c:v>Costi per il mantenimento del patrimonio immobiliare</c:v>
                </c:pt>
                <c:pt idx="9">
                  <c:v>Totale Costo del personale</c:v>
                </c:pt>
                <c:pt idx="10">
                  <c:v>Altri costi</c:v>
                </c:pt>
                <c:pt idx="11">
                  <c:v>Totale Costi</c:v>
                </c:pt>
                <c:pt idx="13">
                  <c:v>Perdita d'esercizio</c:v>
                </c:pt>
              </c:strCache>
            </c:strRef>
          </c:cat>
          <c:val>
            <c:numRef>
              <c:f>Supersintesi!$C$2:$C$15</c:f>
              <c:numCache>
                <c:formatCode>#,##0</c:formatCode>
                <c:ptCount val="14"/>
                <c:pt idx="0">
                  <c:v>766080089</c:v>
                </c:pt>
                <c:pt idx="1">
                  <c:v>80268669</c:v>
                </c:pt>
                <c:pt idx="2">
                  <c:v>52339799</c:v>
                </c:pt>
                <c:pt idx="3">
                  <c:v>898688557</c:v>
                </c:pt>
                <c:pt idx="5">
                  <c:v>145639124</c:v>
                </c:pt>
                <c:pt idx="6">
                  <c:v>398645399</c:v>
                </c:pt>
                <c:pt idx="7">
                  <c:v>57365776</c:v>
                </c:pt>
                <c:pt idx="8">
                  <c:v>44569817</c:v>
                </c:pt>
                <c:pt idx="9">
                  <c:v>270518000</c:v>
                </c:pt>
                <c:pt idx="10">
                  <c:v>31931128</c:v>
                </c:pt>
                <c:pt idx="11">
                  <c:v>948669244</c:v>
                </c:pt>
                <c:pt idx="13" formatCode="_-* #,##0_-;\-* #,##0_-;_-* &quot;-&quot;??_-;_-@_-">
                  <c:v>-49980687</c:v>
                </c:pt>
              </c:numCache>
            </c:numRef>
          </c:val>
        </c:ser>
        <c:gapWidth val="198"/>
        <c:gapDepth val="36"/>
        <c:shape val="box"/>
        <c:axId val="83946112"/>
        <c:axId val="83947904"/>
        <c:axId val="38041344"/>
      </c:bar3DChart>
      <c:catAx>
        <c:axId val="8394611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83947904"/>
        <c:crosses val="autoZero"/>
        <c:auto val="1"/>
        <c:lblAlgn val="ctr"/>
        <c:lblOffset val="100"/>
      </c:catAx>
      <c:valAx>
        <c:axId val="8394790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>
              <a:outerShdw blurRad="50800" dist="50800" dir="5400000" sx="20000" sy="20000" algn="ctr" rotWithShape="0">
                <a:srgbClr val="000000">
                  <a:alpha val="43137"/>
                </a:srgbClr>
              </a:outerShdw>
            </a:effectLst>
          </c:spPr>
        </c:majorGridlines>
        <c:numFmt formatCode="#,##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18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83946112"/>
        <c:crosses val="autoZero"/>
        <c:crossBetween val="between"/>
        <c:dispUnits>
          <c:builtInUnit val="thousands"/>
          <c:dispUnitsLbl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</c:dispUnitsLbl>
        </c:dispUnits>
      </c:valAx>
      <c:serAx>
        <c:axId val="38041344"/>
        <c:scaling>
          <c:orientation val="minMax"/>
        </c:scaling>
        <c:delete val="1"/>
        <c:axPos val="b"/>
        <c:majorTickMark val="none"/>
        <c:tickLblPos val="none"/>
        <c:crossAx val="83947904"/>
        <c:crosses val="autoZero"/>
      </c:ser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2"/>
      </a:solidFill>
      <a:round/>
    </a:ln>
    <a:effectLst/>
  </c:spPr>
  <c:txPr>
    <a:bodyPr/>
    <a:lstStyle/>
    <a:p>
      <a:pPr>
        <a:defRPr/>
      </a:pPr>
      <a:endParaRPr lang="it-IT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it-IT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Preventivo 2017 Valore della Produzione</a:t>
            </a:r>
          </a:p>
        </c:rich>
      </c:tx>
      <c:spPr>
        <a:noFill/>
        <a:ln>
          <a:noFill/>
        </a:ln>
        <a:effectLst/>
      </c:spPr>
    </c:title>
    <c:view3D>
      <c:rotX val="40"/>
      <c:rotY val="19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473355521281493"/>
          <c:y val="0.13112856177738405"/>
          <c:w val="0.81451914386990265"/>
          <c:h val="0.57890677779931043"/>
        </c:manualLayout>
      </c:layout>
      <c:pie3DChart>
        <c:varyColors val="1"/>
        <c:ser>
          <c:idx val="1"/>
          <c:order val="0"/>
          <c:tx>
            <c:strRef>
              <c:f>Supersintesi!$C$1</c:f>
              <c:strCache>
                <c:ptCount val="1"/>
                <c:pt idx="0">
                  <c:v>Preventivo   2017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Supersintesi!$A$2:$A$4</c:f>
              <c:strCache>
                <c:ptCount val="3"/>
                <c:pt idx="0">
                  <c:v>Contributi in c/esercizio</c:v>
                </c:pt>
                <c:pt idx="1">
                  <c:v>Mobilità attiva</c:v>
                </c:pt>
                <c:pt idx="2">
                  <c:v>Altri ricavi</c:v>
                </c:pt>
              </c:strCache>
            </c:strRef>
          </c:cat>
          <c:val>
            <c:numRef>
              <c:f>Supersintesi!$C$2:$C$4</c:f>
              <c:numCache>
                <c:formatCode>#,##0</c:formatCode>
                <c:ptCount val="3"/>
                <c:pt idx="0">
                  <c:v>766080089</c:v>
                </c:pt>
                <c:pt idx="1">
                  <c:v>80268669</c:v>
                </c:pt>
                <c:pt idx="2">
                  <c:v>52339799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4587692680642662"/>
          <c:y val="0.8454950698730227"/>
          <c:w val="0.50824614638714671"/>
          <c:h val="6.0811236433283712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zero"/>
  </c:chart>
  <c:spPr>
    <a:solidFill>
      <a:schemeClr val="bg1"/>
    </a:solidFill>
    <a:ln w="0" cap="flat" cmpd="sng" algn="ctr">
      <a:solidFill>
        <a:schemeClr val="tx2"/>
      </a:solidFill>
      <a:round/>
    </a:ln>
    <a:effectLst>
      <a:glow rad="12700">
        <a:schemeClr val="accent1"/>
      </a:glow>
      <a:outerShdw sx="1000" sy="1000" algn="ctr" rotWithShape="0">
        <a:srgbClr val="000000"/>
      </a:outerShdw>
    </a:effectLst>
    <a:scene3d>
      <a:camera prst="orthographicFront"/>
      <a:lightRig rig="threePt" dir="t"/>
    </a:scene3d>
    <a:sp3d>
      <a:bevelT w="0" h="0"/>
    </a:sp3d>
  </c:spPr>
  <c:txPr>
    <a:bodyPr/>
    <a:lstStyle/>
    <a:p>
      <a:pPr>
        <a:defRPr/>
      </a:pPr>
      <a:endParaRPr lang="it-IT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it-IT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Preventivo 2017 Costi </a:t>
            </a:r>
          </a:p>
        </c:rich>
      </c:tx>
      <c:layout>
        <c:manualLayout>
          <c:xMode val="edge"/>
          <c:yMode val="edge"/>
          <c:x val="0.36041271920975548"/>
          <c:y val="5.8519777597740102E-2"/>
        </c:manualLayout>
      </c:layout>
      <c:spPr>
        <a:noFill/>
        <a:ln>
          <a:noFill/>
        </a:ln>
        <a:effectLst/>
      </c:spPr>
    </c:title>
    <c:view3D>
      <c:rotX val="40"/>
      <c:rotY val="19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46786788966436377"/>
          <c:y val="0.30951780683377894"/>
          <c:w val="0.53213211033563623"/>
          <c:h val="0.50178682366539062"/>
        </c:manualLayout>
      </c:layout>
      <c:pie3DChart>
        <c:varyColors val="1"/>
        <c:ser>
          <c:idx val="1"/>
          <c:order val="0"/>
          <c:explosion val="29"/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explosion val="3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Supersintesi!$A$7:$A$12</c:f>
              <c:strCache>
                <c:ptCount val="6"/>
                <c:pt idx="0">
                  <c:v>Acquisti di beni</c:v>
                </c:pt>
                <c:pt idx="1">
                  <c:v>Acquisti servizi sanitari</c:v>
                </c:pt>
                <c:pt idx="2">
                  <c:v>Acquisti di servizi non sanitari</c:v>
                </c:pt>
                <c:pt idx="3">
                  <c:v>Costi per il mantenimento del patrimonio immobiliare</c:v>
                </c:pt>
                <c:pt idx="4">
                  <c:v>Totale Costo del personale</c:v>
                </c:pt>
                <c:pt idx="5">
                  <c:v>Altri costi</c:v>
                </c:pt>
              </c:strCache>
            </c:strRef>
          </c:cat>
          <c:val>
            <c:numRef>
              <c:f>Supersintesi!$C$7:$C$12</c:f>
              <c:numCache>
                <c:formatCode>#,##0</c:formatCode>
                <c:ptCount val="6"/>
                <c:pt idx="0">
                  <c:v>145639124</c:v>
                </c:pt>
                <c:pt idx="1">
                  <c:v>398645399</c:v>
                </c:pt>
                <c:pt idx="2">
                  <c:v>57365776</c:v>
                </c:pt>
                <c:pt idx="3">
                  <c:v>44569817</c:v>
                </c:pt>
                <c:pt idx="4">
                  <c:v>270518000</c:v>
                </c:pt>
                <c:pt idx="5">
                  <c:v>31931128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7643190509379295E-2"/>
          <c:y val="0.19380408870909491"/>
          <c:w val="0.45661522357544065"/>
          <c:h val="0.6227096727587956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zero"/>
  </c:chart>
  <c:spPr>
    <a:solidFill>
      <a:schemeClr val="bg1"/>
    </a:solidFill>
    <a:ln w="0" cap="flat" cmpd="sng" algn="ctr">
      <a:solidFill>
        <a:schemeClr val="tx2"/>
      </a:solidFill>
      <a:round/>
    </a:ln>
    <a:effectLst>
      <a:glow rad="12700">
        <a:schemeClr val="accent1"/>
      </a:glow>
      <a:outerShdw sx="1000" sy="1000" algn="ctr" rotWithShape="0">
        <a:srgbClr val="000000"/>
      </a:outerShdw>
    </a:effectLst>
    <a:scene3d>
      <a:camera prst="orthographicFront"/>
      <a:lightRig rig="threePt" dir="t"/>
    </a:scene3d>
    <a:sp3d>
      <a:bevelT w="0" h="0"/>
    </a:sp3d>
  </c:spPr>
  <c:txPr>
    <a:bodyPr/>
    <a:lstStyle/>
    <a:p>
      <a:pPr>
        <a:defRPr/>
      </a:pPr>
      <a:endParaRPr lang="it-IT"/>
    </a:p>
  </c:txPr>
  <c:externalData r:id="rId1"/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Grendene</dc:creator>
  <cp:lastModifiedBy>Lenovo User</cp:lastModifiedBy>
  <cp:revision>2</cp:revision>
  <dcterms:created xsi:type="dcterms:W3CDTF">2017-04-04T06:38:00Z</dcterms:created>
  <dcterms:modified xsi:type="dcterms:W3CDTF">2017-04-04T06:38:00Z</dcterms:modified>
</cp:coreProperties>
</file>